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免税拉动作用明显 消费市场形势向好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--2023 年一季度海口消费品市场运行情况分析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70" w:lineRule="exact"/>
        <w:ind w:left="0" w:leftChars="0"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2023年一季度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适逢元旦、春节两大节日，消费品市场购销两旺，“民俗加旅游”的新型旅游模式对消费品市场的提振作用显现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，实现开门红。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一、消费品市场基本情况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一季度，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全市实现社会消费品零售总额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261.17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亿元，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同比增长7.2%，全省排名第四，高于全省平均水平0.5个百分点，占全省总量的42.7%。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（一）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从消费地域看，城镇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增长明显优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于乡村。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一季度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城镇消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费品零售总额同比增长11.1%，乡村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费品零售总额同比下降6.1%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（二）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从消费形态看，餐饮收入好于商品零售。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一季度全市商品零售同比增长7.0%；因疫情放开，餐饮收入同比增长10.9%，增幅高于商品零售3.9个百分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点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（三）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分地区看，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秀英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区一枝独秀，社零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呈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两位数增长。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一季度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，秀英区实现社会消费品零售总额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84.0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亿，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同比增长20.5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%，秀英区主要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得益于免税店拉动；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龙华区实现社会消费品零售总额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86.2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亿元，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同比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增长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7.2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%，主要得益于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商超和线上商品销售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拉动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琼山区实现社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会消费品零售总额31.1亿元，同比下降4.4%，主要受免税店影响，辖区内两家免税店零售额同比下降30.2%；美兰区实现社会消费品零售总额59.9亿元，同比下降2.0%，主要受汽车销售持续下滑影响。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从规模看，限额以上企业仍保持“压舱石”作用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一季度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全市共实现限额以上零售额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202.79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亿元，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同比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增长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8.5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%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限上社零占全市比重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81.7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%，拉动全市社零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7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个百分点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，贡献率91.4%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。限上社零一直是全市社零的重要拉动点，“压舱石”作用明显。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4841875" cy="3276600"/>
            <wp:effectExtent l="4445" t="4445" r="11430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hint="default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（五）从增长趋势看，免税品销售呈快速增长态势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。一季度适逢元旦、春节两大节日，加上疫情放开和气候优势，游客增多，客流量增大，免税品零售增长趋势明显。一季度免税店零售额54.39亿，同比增长56.7%，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拉动全市社零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8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个百分点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，贡献率112.9%。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（六）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分商品类别看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部分类别亮点显现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六成以上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商品零售保持增长。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一季度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限额以上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类主要商品零售类值中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13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类商品类值零售额保持增长，合计拉动限额以上单位商品零售额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15.2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个百分点。其中，在全市促消费政策持续推动下，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饮料类，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烟酒类，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服装、鞋帽、针纺织品类，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化妆品类，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金银珠宝类，日用品类，书报杂志类，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家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用电器和音像器材类，中西药品类，机电产品及设备类零售增速均在两位数以上。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.饮料类、烟酒类、日用品类和服装、鞋帽、针纺织品类属于生活必需品，刚性需求增长快速。从限上商品零售类值来看，饮料类同比增长116%，烟酒类同比增长27.8%，日用品类同比增长61.5%，服装、鞋帽、针纺织品类同比增长34.7%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3.化妆品类、金银珠宝类今年保持快速增长。从限上商品零售类值来看，化妆品类同比增长32.7%，金银珠宝类同比增长115.1%，得益于免税店销售情况较好。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4.中西药品类仍保持较好需求量。随着疫情防控社会面放开后，医药行业的药品市场行情较好，同比增长20.2%。</w:t>
      </w:r>
    </w:p>
    <w:tbl>
      <w:tblPr>
        <w:tblStyle w:val="9"/>
        <w:tblW w:w="0" w:type="auto"/>
        <w:tblInd w:w="4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2589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限上商品零售类别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1-3月类值累计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（亿元）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累计增速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合  计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133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.28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15.2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饮料类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2.56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116.0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金银珠宝类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6.60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115.1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日用品类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12.70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服装、鞋帽、针纺织品类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8.06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34.7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化妆品类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46.11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32.7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烟酒类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9.53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27.8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中西药品类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1.57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20.2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用电器和音像器材类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2.67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19.4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 通讯器材类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6.03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9.3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石油及制品类</w:t>
            </w:r>
          </w:p>
        </w:tc>
        <w:tc>
          <w:tcPr>
            <w:tcW w:w="258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37.45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4.9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二、需关注的问题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一季度，因国家政策调整、省市促销新政策未出台等因素影响，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我市消费市场恢复性增长还面临一些困难。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汽车销售企业持续下滑。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今年元旦后取消了车辆购置税减半政策和新能源国家补贴政策后，消费者都在观望新政策动向，导致汽车消费继续下滑。其中新能源汽车零售增长12.0%，同比回落151个百分点，比2022年回落23.9个百分点。特别是燃油汽车仍持续下滑，同比回落12.7个百分点，比2022年回落5个百分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7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（二）消费券发放额度较少，促销费政策滞后。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从商务部门了解到，今年一季度元旦、春节期间发放消费券700多万，额度相对较少，且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截至目前我市尚未出台汽车促销政策，对社零拉动作用不明显。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0" w:line="57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（三）餐饮业利润空间较小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。调研时企业普遍反映，受物价、店租和人力成本相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对较高影响，同时供应链环节成本也日益提高，餐饮业整体利润空间被进一步压缩。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三、建议和对策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zh-CN" w:eastAsia="zh-CN" w:bidi="ar-SA"/>
        </w:rPr>
        <w:t>（一）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优化旅游行业业态，降低消费者旅游成本。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建议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旅文部门要尽早谋划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旅游相关的产业链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的优化政策，降低国际国内游客的旅游成本，提高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体验感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，刺激旅游相关的行业的发展，带动住宿、餐饮、购物市场的共同繁荣。同时，挖掘新的旅游热点，打造一小时旅游圈，刺激本地居民消费。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（二）加大消费券发放额度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根据调研情况，企业认为消费券的发放对刺激消费市场作用明显，建议增大消费券的额度或发放量。疫情放开后，实体店客流量和零售额有所回升，建议优化消费券发放方式，分行业针对性发放，例如免税、商超、餐饮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,提高优惠券发放精准度和领取的便捷性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（三）建议尽快出台汽车促销政策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。随着两项汽车国补取消，截至目前我市仍未出台汽车消费政策。目前我市燃油汽车摇号中签率在95%左右，建议继续加大摇号中签率，帮助企业去库存，从而带动汽车类增长。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（四）加大餐饮业政策扶持力度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建议加大对餐饮业的政策扶持力度，实施更大范围的减免和支持政策，以此提振餐饮业信心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 w:firstLineChars="20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ascii="仿宋_GB2312" w:hAnsi="仿宋_GB2312" w:eastAsia="仿宋_GB2312" w:cs="仿宋_GB2312"/>
          <w:color w:val="00B0F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B0F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color w:val="00B0F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8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5121910</wp:posOffset>
              </wp:positionH>
              <wp:positionV relativeFrom="paragraph">
                <wp:posOffset>-346075</wp:posOffset>
              </wp:positionV>
              <wp:extent cx="494665" cy="4921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94665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3pt;margin-top:-27.25pt;height:38.75pt;width:38.95pt;mso-position-horizontal-relative:margin;z-index:251659264;mso-width-relative:page;mso-height-relative:page;" filled="f" stroked="f" coordsize="21600,21600" o:gfxdata="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qF/20tgAAAAKAQAADwAAAAAAAAABACAAAAA4AAAAZHJzL2Rvd25y&#10;ZXYueG1sUEsBAhQAFAAAAAgAh07iQPadZj4hAgAAKQQAAA4AAAAAAAAAAQAgAAAAP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EAE10E"/>
    <w:multiLevelType w:val="singleLevel"/>
    <w:tmpl w:val="8AEAE10E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1FCCFE2"/>
    <w:multiLevelType w:val="singleLevel"/>
    <w:tmpl w:val="11FCCFE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NjYyMzc0N2JmYmE0OGVmNmI0Y2ViN2U5MDQzMjYifQ=="/>
  </w:docVars>
  <w:rsids>
    <w:rsidRoot w:val="00000000"/>
    <w:rsid w:val="00263E9A"/>
    <w:rsid w:val="01CE6E34"/>
    <w:rsid w:val="05512F51"/>
    <w:rsid w:val="06494C26"/>
    <w:rsid w:val="0C1A3AB9"/>
    <w:rsid w:val="0D545D26"/>
    <w:rsid w:val="0FF2736F"/>
    <w:rsid w:val="0FF77D33"/>
    <w:rsid w:val="100E0101"/>
    <w:rsid w:val="10AD3D87"/>
    <w:rsid w:val="13175BE3"/>
    <w:rsid w:val="140D351E"/>
    <w:rsid w:val="14170540"/>
    <w:rsid w:val="190A3BF5"/>
    <w:rsid w:val="229940F8"/>
    <w:rsid w:val="244D2F99"/>
    <w:rsid w:val="25E111FF"/>
    <w:rsid w:val="2F878BD6"/>
    <w:rsid w:val="2FD11A22"/>
    <w:rsid w:val="347537C7"/>
    <w:rsid w:val="36E410B8"/>
    <w:rsid w:val="37623403"/>
    <w:rsid w:val="37C72649"/>
    <w:rsid w:val="3A9B6980"/>
    <w:rsid w:val="3AE62F71"/>
    <w:rsid w:val="3D0D305B"/>
    <w:rsid w:val="3EE33F49"/>
    <w:rsid w:val="3F201B78"/>
    <w:rsid w:val="40621D5C"/>
    <w:rsid w:val="411A4576"/>
    <w:rsid w:val="430F2F5F"/>
    <w:rsid w:val="433724B6"/>
    <w:rsid w:val="4396542E"/>
    <w:rsid w:val="44801685"/>
    <w:rsid w:val="47EC0801"/>
    <w:rsid w:val="48563848"/>
    <w:rsid w:val="49D76365"/>
    <w:rsid w:val="4AFA1312"/>
    <w:rsid w:val="4CCA0D79"/>
    <w:rsid w:val="4E6C1A5A"/>
    <w:rsid w:val="51A67A99"/>
    <w:rsid w:val="55DD5446"/>
    <w:rsid w:val="58052AC3"/>
    <w:rsid w:val="5C3E62F2"/>
    <w:rsid w:val="5D973ECD"/>
    <w:rsid w:val="5E606CCA"/>
    <w:rsid w:val="61C85E5A"/>
    <w:rsid w:val="61F575A1"/>
    <w:rsid w:val="632A1297"/>
    <w:rsid w:val="648E2B21"/>
    <w:rsid w:val="64CE4B84"/>
    <w:rsid w:val="66B21381"/>
    <w:rsid w:val="6AB13038"/>
    <w:rsid w:val="6C13503B"/>
    <w:rsid w:val="71480CE4"/>
    <w:rsid w:val="72D71099"/>
    <w:rsid w:val="74F3598D"/>
    <w:rsid w:val="786D75D0"/>
    <w:rsid w:val="790E2193"/>
    <w:rsid w:val="7D182E20"/>
    <w:rsid w:val="7D6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 w:after="0" w:line="360" w:lineRule="auto"/>
      <w:ind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宋体" w:hAnsi="Arial"/>
      <w:color w:val="000000"/>
    </w:rPr>
  </w:style>
  <w:style w:type="paragraph" w:styleId="4">
    <w:name w:val="Normal Indent"/>
    <w:basedOn w:val="1"/>
    <w:next w:val="1"/>
    <w:qFormat/>
    <w:uiPriority w:val="0"/>
    <w:pPr>
      <w:ind w:firstLine="630"/>
    </w:pPr>
    <w:rPr>
      <w:rFonts w:eastAsia="仿宋_GB2312"/>
      <w:kern w:val="0"/>
      <w:sz w:val="32"/>
    </w:rPr>
  </w:style>
  <w:style w:type="paragraph" w:styleId="5">
    <w:name w:val="Body Text Indent 2"/>
    <w:basedOn w:val="1"/>
    <w:qFormat/>
    <w:uiPriority w:val="0"/>
    <w:pPr>
      <w:ind w:firstLine="750"/>
    </w:pPr>
    <w:rPr>
      <w:rFonts w:ascii="宋体" w:hAnsi="宋体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false"/>
    <c:plotArea>
      <c:layout/>
      <c:pieChart>
        <c:varyColors val="true"/>
        <c:ser>
          <c:idx val="0"/>
          <c:order val="0"/>
          <c:tx>
            <c:strRef>
              <c:f>Sheet1!$B$1</c:f>
              <c:strCache>
                <c:ptCount val="1"/>
                <c:pt idx="0">
                  <c:v>全市社会消费品零售总额（261.17亿元）</c:v>
                </c:pt>
              </c:strCache>
            </c:strRef>
          </c:tx>
          <c:spPr/>
          <c:explosion val="0"/>
          <c:dPt>
            <c:idx val="0"/>
            <c:bubble3D val="false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false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05823125620408"/>
                  <c:y val="-0.185491380909065"/>
                </c:manualLayout>
              </c:layout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781509819749429"/>
                  <c:y val="0.159522393327702"/>
                </c:manualLayout>
              </c:layout>
              <c:dLblPos val="bestFit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全市限额以上社会消费品零售额</c:v>
                </c:pt>
                <c:pt idx="1">
                  <c:v>全市限额以下社会消费品零售额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0.817</c:v>
                </c:pt>
                <c:pt idx="1">
                  <c:v>0.183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1946</Words>
  <Characters>2175</Characters>
  <Lines>0</Lines>
  <Paragraphs>0</Paragraphs>
  <TotalTime>17</TotalTime>
  <ScaleCrop>false</ScaleCrop>
  <LinksUpToDate>false</LinksUpToDate>
  <CharactersWithSpaces>2184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2023-02-02T14:23:00Z</dcterms:created>
  <dc:creator>HUAWEI</dc:creator>
  <cp:lastModifiedBy>lenovo</cp:lastModifiedBy>
  <dcterms:modified xsi:type="dcterms:W3CDTF">2023-08-17T16:55:57Z</dcterms:modified>
  <dc:title>2023 年一季度海口消费品市场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1AEC66D0A23C4B5F880DE93017D611DA</vt:lpwstr>
  </property>
</Properties>
</file>